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sektorowa, magazynowanie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Zajęcia projektowe
30 Praca własna, w tym opracowanie projektu i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technologii i procesów magazynowania energii chemicznej w systemach gazowniczych oraz ciepła w systemach ciepłowniczych. Zapoznanie Studentów z nowymi tendencjami technologicznymi i regulacyjnymi w zakresie konwergencji systemów energetycznych, integracji sektorów energetyki, zarządzania systemami multienergetycznymi.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Integracja sektorów. Technologie i techniki magazynowania energii chemicznej w sieciach gazowych – projekty typu Power-to-gas oraz w sieciach ciepłowniczych – projekty typu Power-to-heat. Wpływ procesów magazynowania energii i ciepła na parametry eksploatacyjne sieci i odpowiednio odbiorników gazu i ciepła. Energetyka wodorowa, technologie wytwarzania wodoru, metanizacja wodoru. Zatłaczanie wodoru do sieci gazowych i magazynowanie w podziemnych magazynach gazu, wrażliwość elementów sytemu na podwyższone stężenie wodoru. Technologie magazynowania ciepła w zasobnikach krótko- i długoterminowych, tzw. sezonowych, możliwości współpracy z OZE. Analiza wpływu zasobników ciepła na parametry pracy sieci ciepłowniczej. Wpływ zatłaczania wodoru do sieci gazowej na parametry eksploatacyjne systemu gazowniczego.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zajęć projektowych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H. Lund, Renewable Energy Systems: A Smart Energy Systems Approach to the Choice and Modelling of 100% Renewable Solutions. Elsevier, Oxford UK, 2014
[2] Qadrdan, M., Abeysekera, M., Wu, J., Jenkins, N., &amp; Winter, B. The future of gas networks: The role of gas networks in a low carbon energy system. Springer International Publishing AG. Cham, Switzerland 2019
[3] Polska strategia wodorowa do roku 2030 z perspektywą do roku 2040. Załącznik do uchwały nr 149 Rady Ministrów z dnia 2 listopada 2021 r. (poz. 1138), Ministerstwo Klimatu i Środowiska, Warszawa, 2021,
[4] Obwieszczenie Ministra Klimatu i Środowiska z dnia 2 marca 2021 r. w sprawie polityki energetycznej państwa do 2040 r., 
[5] Gellings, C.W.: The Smart Grid: Enabling Energy Efficiency and Demand Response, The Fairmont Press, Inc., Lilburn 2009
[6] Sioshansi F. (red.) Smart Grid, Integrating Renewable, Distributed &amp; Efficient Energy, Academic Press, Cambridge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budowy, modernizacji i eksploatacji systemów ciepłowniczych i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IS_U06: </w:t>
      </w:r>
    </w:p>
    <w:p>
      <w:pPr/>
      <w:r>
        <w:rPr/>
        <w:t xml:space="preserve">Potrafi przeprowadzić i przedstawić ocenę techniczna lub technologiczną lub funkcjonalną urządzeń stosowanych w ciepłownictwie i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IS_U08: </w:t>
      </w:r>
    </w:p>
    <w:p>
      <w:pPr/>
      <w:r>
        <w:rPr/>
        <w:t xml:space="preserve">Potrafi przeanalizować i ocenić działanie oraz obliczyć parametry eksploatacyjne urządzeń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2026-10-12T06:37:15+02:00</dcterms:created>
  <dcterms:modified xsi:type="dcterms:W3CDTF">2026-10-12T06:37:15+02:00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