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15 godz., ćwiczenia projektowe 30 godz., konsultacje i zaliczenie projektu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Stolarka budowlana – rozwiązania konstrukcyjno–materiałowe. Tynki - rodzaje, wymagania, technologie. Podłogi i posadzki. Projektowanie konstrukcji - wymagania stawiane budynkom. Techniki wykonywania, rozwiązania konstrukcyjne budynków. 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K1_W14, K1_W01, K1_W02, K1_W05, K1_W13</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charakterystyki kierunkowe: </w:t>
      </w:r>
      <w:r>
        <w:rPr/>
        <w:t xml:space="preserve">K1_U03, K1_U07, K1_U09, K1_U15, K1_U21, K1_U02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K1_K04,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2026-10-16T16:36:17+02:00</dcterms:created>
  <dcterms:modified xsi:type="dcterms:W3CDTF">2026-10-16T16:36:17+02:00</dcterms:modified>
</cp:coreProperties>
</file>

<file path=docProps/custom.xml><?xml version="1.0" encoding="utf-8"?>
<Properties xmlns="http://schemas.openxmlformats.org/officeDocument/2006/custom-properties" xmlns:vt="http://schemas.openxmlformats.org/officeDocument/2006/docPropsVTypes"/>
</file>