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kierunkowe do wyboru szt.3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3 x 2 ECTS = 6 ECTS: godziny pracy studenta zgodnie z opisem wybranego przedmiotu.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 x 30 godz. = 90 godz. = 3,5 ECTS: 3 przedmioty po 30 godzin zajęć z nauczycielem akademickim każdy.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Zgodnie z opisem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 os/grupę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szczegółowej wiedzy związanej z wybranymi zagadnieniami z zakresu budownictwa zgodnie z zainteresowaniami studenta, przedstawienie trendów rozwojowych w budownictwie i kształtowanie umiejętności rozumienia technicznych i pozatechnicznych aspektów działalności inżynierskiej.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Przekazanie szczegółowej wiedzy związanej z wybranymi zagadnieniami z zakresu budownictwa zgodnie z zainteresowaniami studenta, przedstawienie trendów rozwojowych w budownictwie.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 : </w:t>
      </w:r>
    </w:p>
    <w:p>
      <w:pPr/>
      <w:r>
        <w:rPr/>
        <w:t xml:space="preserve">Kształtowanie umiejętności rozumienia technicznych i pozatechnicznych aspektów działalności inżynierskiej.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Właściwa dla wybranego przedmiotu.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2026-10-16T01:46:15+02:00</dcterms:created>
  <dcterms:modified xsi:type="dcterms:W3CDTF">2026-10-16T01:46:15+02:00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