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 MiBP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Henryk Zobel, prof. dr hab.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1080-BUMBP-ISP-0900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Ćwiczenia seminaryjne 30h.
Studiowanie materiałów potrzebnych do wykonania prezentacji wybranego tematu seminarium dyplomowego 10h. 
Praca indywidualna  przy wykonywaniu prezentacji tematu seminarium 10h. 
Razem 50h -  2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Ćwiczenia seminaryjne 30h.
Razem 30h -  1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Ćwiczenia seminaryjne 30h.
Razem 30h -  1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Dokument wydania tematu pracy dyplomowej podpisany przez studenta i promotora.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Wyrobienie u studentów umiejętności publicznego prezentowania wyników własnej pracy dyplomowej. Przygotowanie do obrony pracy dyplomowej na egzaminie.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Wprowadzenie prowadzącego dotyczące: zasad wykonywania i prowadzenia prac dyplomowych, przykłady prac dyplomowych, metod prezentacji prac dyplomowych.(2 godz.)
Indywidualne prezentacje celów i zakresu pracy dyplomowej, przyjętych metod badań i analiz oraz uzyskanych wyników. Dyskusja i podsumowanie przez prowadzącego. Czas trwania: prezentacja 20-25 min., dyskusja i podsumowanie 15-20 min.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Merytoryczne elementy prezentacji, zaplanowanie czasowe wystąpienia, przejrzystość formułowanie odpowiedzi na pytania, umiejętność przekonywania, swoboda w wystąpieniach publicznych.
Obecność na wszystkich seminariach jest obowiązkowa.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Indywidualny, dostosowany do tematu pracy dyplomowej.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Ma pogłębioną wiedzę o planowaniu, projektowaniu i eksploatacji infrastruktury transportowej i systemów transportowych. Ma wiedzę dotyczącą programowania i finansowania inwestycji w budownictwie komunikacyjnym. Ma wiedzę o najistotniejszych nowych osiągnięciach i tendencjach rozwojowych w budownictwie komunikacyjnym. Ma wiedzę pozwalającą zrozumieć społeczne, ekonomiczne i środowiskowe uwarunkowania wynikające z planowania, projektowania, budowy i eksploatacji infrastruktury komunikacyjnej.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K1_W04, K1_W05, K1_W15, K1_W16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III.P6S_WG, I.P6S_WK, III.P6S_WK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Umiejętność przedstawienia i obrony tez pracy dyplomowej. Potrafi zaplanować i zaprojektować rozwiązania stosowane w zarządzaniu elementami infrastruktury komunikacyjnej i uwzględnić aspekty pozatechniczne. Posiada umiejętność przeprowadzenia analizy problemu i wyboru właściwego rozwiązania. Potrafi stosować podejście systemowe oraz integrować wiedzę o różnych uwarunkowaniach do oceny wariantów rozwiązań.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pracy dyplomowej.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K1_U19, K1_U20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I.P6S_UK, I.P6S_UU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K1: </w:t>
      </w:r>
    </w:p>
    <w:p>
      <w:pPr/>
      <w:r>
        <w:rPr/>
        <w:t xml:space="preserve">Ma świadomość pełnej odpowiedzialności za tworzone dzieło. Wyczuwa potrzebę przestrzegania zasad etyki zawodowej, typowej dla zawodu zaufania publicznego.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tez zawartych w prezentacji pracy dyplomowej.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K1_K01, K1_K07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I.P6S_KR, 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2026-08-26T21:30:26+02:00</dcterms:created>
  <dcterms:modified xsi:type="dcterms:W3CDTF">2026-08-26T21:30:26+02:00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